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2021年四川中信华诚化工科技有限公司</w:t>
      </w:r>
    </w:p>
    <w:p>
      <w:pPr>
        <w:jc w:val="center"/>
        <w:rPr>
          <w:rFonts w:hint="eastAsia"/>
          <w:b/>
          <w:bCs/>
          <w:sz w:val="44"/>
          <w:szCs w:val="44"/>
          <w:lang w:val="en-US" w:eastAsia="zh-CN"/>
        </w:rPr>
      </w:pPr>
      <w:r>
        <w:rPr>
          <w:rFonts w:hint="eastAsia"/>
          <w:b/>
          <w:bCs/>
          <w:sz w:val="44"/>
          <w:szCs w:val="44"/>
          <w:lang w:val="en-US" w:eastAsia="zh-CN"/>
        </w:rPr>
        <w:t>售电招标要求</w:t>
      </w:r>
    </w:p>
    <w:p>
      <w:pPr>
        <w:jc w:val="center"/>
        <w:rPr>
          <w:rFonts w:hint="eastAsia"/>
          <w:b/>
          <w:bCs/>
          <w:sz w:val="44"/>
          <w:szCs w:val="44"/>
          <w:lang w:val="en-US" w:eastAsia="zh-CN"/>
        </w:rPr>
      </w:pPr>
    </w:p>
    <w:p>
      <w:pPr>
        <w:numPr>
          <w:ilvl w:val="0"/>
          <w:numId w:val="1"/>
        </w:numPr>
        <w:tabs>
          <w:tab w:val="left" w:pos="392"/>
        </w:tabs>
        <w:jc w:val="left"/>
        <w:rPr>
          <w:rFonts w:hint="eastAsia"/>
          <w:b/>
          <w:bCs/>
          <w:sz w:val="28"/>
          <w:szCs w:val="28"/>
          <w:lang w:val="en-US" w:eastAsia="zh-CN"/>
        </w:rPr>
      </w:pPr>
      <w:r>
        <w:rPr>
          <w:rFonts w:hint="eastAsia"/>
          <w:b/>
          <w:bCs/>
          <w:sz w:val="28"/>
          <w:szCs w:val="28"/>
          <w:lang w:val="en-US" w:eastAsia="zh-CN"/>
        </w:rPr>
        <w:t>招标项目概况</w:t>
      </w:r>
    </w:p>
    <w:p>
      <w:pPr>
        <w:numPr>
          <w:ilvl w:val="0"/>
          <w:numId w:val="0"/>
        </w:numPr>
        <w:tabs>
          <w:tab w:val="left" w:pos="392"/>
        </w:tabs>
        <w:jc w:val="left"/>
        <w:rPr>
          <w:rFonts w:hint="eastAsia"/>
          <w:b w:val="0"/>
          <w:bCs w:val="0"/>
          <w:sz w:val="28"/>
          <w:szCs w:val="28"/>
          <w:lang w:val="en-US" w:eastAsia="zh-CN"/>
        </w:rPr>
      </w:pPr>
      <w:r>
        <w:rPr>
          <w:rFonts w:hint="eastAsia"/>
          <w:b w:val="0"/>
          <w:bCs w:val="0"/>
          <w:sz w:val="28"/>
          <w:szCs w:val="28"/>
          <w:lang w:val="en-US" w:eastAsia="zh-CN"/>
        </w:rPr>
        <w:t>1.1项目名称：2021年度用电市场化售电项目</w:t>
      </w:r>
    </w:p>
    <w:p>
      <w:pPr>
        <w:numPr>
          <w:ilvl w:val="0"/>
          <w:numId w:val="0"/>
        </w:numPr>
        <w:tabs>
          <w:tab w:val="left" w:pos="392"/>
        </w:tabs>
        <w:jc w:val="left"/>
        <w:rPr>
          <w:rFonts w:hint="eastAsia"/>
          <w:b w:val="0"/>
          <w:bCs w:val="0"/>
          <w:sz w:val="28"/>
          <w:szCs w:val="28"/>
          <w:lang w:val="en-US" w:eastAsia="zh-CN"/>
        </w:rPr>
      </w:pPr>
      <w:r>
        <w:rPr>
          <w:rFonts w:hint="eastAsia"/>
          <w:b w:val="0"/>
          <w:bCs w:val="0"/>
          <w:sz w:val="28"/>
          <w:szCs w:val="28"/>
          <w:lang w:val="en-US" w:eastAsia="zh-CN"/>
        </w:rPr>
        <w:t>1.2招标地点：四川中信华诚化工科技有限公司</w:t>
      </w:r>
    </w:p>
    <w:p>
      <w:pPr>
        <w:numPr>
          <w:ilvl w:val="0"/>
          <w:numId w:val="0"/>
        </w:numPr>
        <w:tabs>
          <w:tab w:val="left" w:pos="392"/>
        </w:tabs>
        <w:jc w:val="left"/>
        <w:rPr>
          <w:rFonts w:hint="eastAsia"/>
          <w:b w:val="0"/>
          <w:bCs w:val="0"/>
          <w:sz w:val="28"/>
          <w:szCs w:val="28"/>
          <w:lang w:val="en-US" w:eastAsia="zh-CN"/>
        </w:rPr>
      </w:pPr>
      <w:r>
        <w:rPr>
          <w:rFonts w:hint="eastAsia"/>
          <w:b w:val="0"/>
          <w:bCs w:val="0"/>
          <w:sz w:val="28"/>
          <w:szCs w:val="28"/>
          <w:lang w:val="en-US" w:eastAsia="zh-CN"/>
        </w:rPr>
        <w:t>1.3招标范围：四川中信华诚化工科技有限公司厂区工业用电售电业务项目采购。电量参与模式:全电量参与</w:t>
      </w:r>
    </w:p>
    <w:p>
      <w:pPr>
        <w:numPr>
          <w:ilvl w:val="0"/>
          <w:numId w:val="0"/>
        </w:numPr>
        <w:tabs>
          <w:tab w:val="left" w:pos="392"/>
        </w:tabs>
        <w:jc w:val="left"/>
        <w:rPr>
          <w:rFonts w:hint="eastAsia"/>
          <w:b w:val="0"/>
          <w:bCs w:val="0"/>
          <w:sz w:val="28"/>
          <w:szCs w:val="28"/>
          <w:lang w:val="en-US" w:eastAsia="zh-CN"/>
        </w:rPr>
      </w:pPr>
      <w:r>
        <w:rPr>
          <w:rFonts w:hint="eastAsia"/>
          <w:b w:val="0"/>
          <w:bCs w:val="0"/>
          <w:sz w:val="28"/>
          <w:szCs w:val="28"/>
          <w:lang w:val="en-US" w:eastAsia="zh-CN"/>
        </w:rPr>
        <w:t>1.4用电企业：四川中信华诚化工科技有限公司</w:t>
      </w:r>
    </w:p>
    <w:p>
      <w:pPr>
        <w:numPr>
          <w:ilvl w:val="0"/>
          <w:numId w:val="0"/>
        </w:numPr>
        <w:tabs>
          <w:tab w:val="left" w:pos="392"/>
        </w:tabs>
        <w:jc w:val="left"/>
        <w:rPr>
          <w:rFonts w:hint="eastAsia"/>
          <w:b w:val="0"/>
          <w:bCs w:val="0"/>
          <w:sz w:val="28"/>
          <w:szCs w:val="28"/>
          <w:lang w:val="en-US" w:eastAsia="zh-CN"/>
        </w:rPr>
      </w:pPr>
      <w:r>
        <w:rPr>
          <w:rFonts w:hint="eastAsia"/>
          <w:b w:val="0"/>
          <w:bCs w:val="0"/>
          <w:sz w:val="28"/>
          <w:szCs w:val="28"/>
          <w:lang w:val="en-US" w:eastAsia="zh-CN"/>
        </w:rPr>
        <w:t>1.5用电周期：2021.1.1-2021.12.31（</w:t>
      </w:r>
      <w:r>
        <w:rPr>
          <w:rFonts w:hint="eastAsia"/>
          <w:b w:val="0"/>
          <w:bCs w:val="0"/>
          <w:color w:val="000000" w:themeColor="text1"/>
          <w:sz w:val="28"/>
          <w:szCs w:val="28"/>
          <w:lang w:val="en-US" w:eastAsia="zh-CN"/>
          <w14:textFill>
            <w14:solidFill>
              <w14:schemeClr w14:val="tx1"/>
            </w14:solidFill>
          </w14:textFill>
        </w:rPr>
        <w:t>具体时间以双方协议协商为准）</w:t>
      </w:r>
      <w:bookmarkStart w:id="0" w:name="_GoBack"/>
      <w:bookmarkEnd w:id="0"/>
    </w:p>
    <w:p>
      <w:pPr>
        <w:numPr>
          <w:ilvl w:val="0"/>
          <w:numId w:val="1"/>
        </w:numPr>
        <w:tabs>
          <w:tab w:val="left" w:pos="392"/>
        </w:tabs>
        <w:ind w:left="0" w:leftChars="0" w:firstLine="0" w:firstLineChars="0"/>
        <w:jc w:val="left"/>
        <w:rPr>
          <w:rFonts w:hint="eastAsia"/>
          <w:b/>
          <w:bCs/>
          <w:sz w:val="28"/>
          <w:szCs w:val="28"/>
          <w:lang w:val="en-US" w:eastAsia="zh-CN"/>
        </w:rPr>
      </w:pPr>
      <w:r>
        <w:rPr>
          <w:rFonts w:hint="eastAsia"/>
          <w:b/>
          <w:bCs/>
          <w:sz w:val="28"/>
          <w:szCs w:val="28"/>
          <w:lang w:val="en-US" w:eastAsia="zh-CN"/>
        </w:rPr>
        <w:t>投标人资质</w:t>
      </w:r>
    </w:p>
    <w:p>
      <w:pPr>
        <w:numPr>
          <w:ilvl w:val="0"/>
          <w:numId w:val="0"/>
        </w:numPr>
        <w:tabs>
          <w:tab w:val="left" w:pos="392"/>
        </w:tabs>
        <w:ind w:leftChars="0"/>
        <w:jc w:val="left"/>
        <w:rPr>
          <w:rFonts w:hint="eastAsia"/>
          <w:b w:val="0"/>
          <w:bCs w:val="0"/>
          <w:color w:val="000000" w:themeColor="text1"/>
          <w:sz w:val="28"/>
          <w:szCs w:val="28"/>
          <w:lang w:val="en-US" w:eastAsia="zh-CN"/>
          <w14:textFill>
            <w14:solidFill>
              <w14:schemeClr w14:val="tx1"/>
            </w14:solidFill>
          </w14:textFill>
        </w:rPr>
      </w:pPr>
      <w:r>
        <w:rPr>
          <w:rFonts w:hint="eastAsia"/>
          <w:b w:val="0"/>
          <w:bCs w:val="0"/>
          <w:sz w:val="28"/>
          <w:szCs w:val="28"/>
          <w:lang w:val="en-US" w:eastAsia="zh-CN"/>
        </w:rPr>
        <w:t>2.1投标方须是中华人民共和国境内的法人企业，营业范围符合项目要求</w:t>
      </w:r>
      <w:r>
        <w:rPr>
          <w:rFonts w:hint="eastAsia"/>
          <w:b/>
          <w:bCs/>
          <w:sz w:val="28"/>
          <w:szCs w:val="28"/>
          <w:lang w:val="en-US" w:eastAsia="zh-CN"/>
        </w:rPr>
        <w:t>（注册资本在1亿元及以上）</w:t>
      </w:r>
      <w:r>
        <w:rPr>
          <w:rFonts w:hint="eastAsia"/>
          <w:b w:val="0"/>
          <w:bCs w:val="0"/>
          <w:sz w:val="28"/>
          <w:szCs w:val="28"/>
          <w:lang w:val="en-US" w:eastAsia="zh-CN"/>
        </w:rPr>
        <w:t>，具有独立签订合同的权利。</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具备独立的承担民事责任能力</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具有履行合同所必须的设备和专业技术能力</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以及</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法律、行政法规规定的其他条件</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p>
    <w:p>
      <w:pPr>
        <w:numPr>
          <w:ilvl w:val="0"/>
          <w:numId w:val="0"/>
        </w:numPr>
        <w:tabs>
          <w:tab w:val="left" w:pos="392"/>
        </w:tabs>
        <w:ind w:leftChars="0"/>
        <w:jc w:val="left"/>
        <w:rPr>
          <w:rFonts w:hint="eastAsia"/>
          <w:b w:val="0"/>
          <w:bCs w:val="0"/>
          <w:sz w:val="28"/>
          <w:szCs w:val="28"/>
          <w:lang w:val="en-US" w:eastAsia="zh-CN"/>
        </w:rPr>
      </w:pPr>
      <w:r>
        <w:rPr>
          <w:rFonts w:hint="eastAsia"/>
          <w:b w:val="0"/>
          <w:bCs w:val="0"/>
          <w:sz w:val="28"/>
          <w:szCs w:val="28"/>
          <w:lang w:val="en-US" w:eastAsia="zh-CN"/>
        </w:rPr>
        <w:t>2.2投标方需是具有售电相关资质且在四川省电力交易中心注册公示后的售电公司。</w:t>
      </w:r>
    </w:p>
    <w:p>
      <w:pPr>
        <w:numPr>
          <w:ilvl w:val="0"/>
          <w:numId w:val="0"/>
        </w:numPr>
        <w:tabs>
          <w:tab w:val="left" w:pos="392"/>
        </w:tabs>
        <w:ind w:leftChars="0"/>
        <w:jc w:val="left"/>
        <w:rPr>
          <w:rFonts w:hint="eastAsia"/>
          <w:b w:val="0"/>
          <w:bCs w:val="0"/>
          <w:sz w:val="28"/>
          <w:szCs w:val="28"/>
          <w:lang w:val="en-US" w:eastAsia="zh-CN"/>
        </w:rPr>
      </w:pPr>
      <w:r>
        <w:rPr>
          <w:rFonts w:hint="eastAsia"/>
          <w:b w:val="0"/>
          <w:bCs w:val="0"/>
          <w:sz w:val="28"/>
          <w:szCs w:val="28"/>
          <w:lang w:val="en-US" w:eastAsia="zh-CN"/>
        </w:rPr>
        <w:t>2.3投标方应具有良好的银行资信和商业信誉，资金状况良好，没有处于被责令停业，财产被接管、冻结及破产状态。</w:t>
      </w:r>
    </w:p>
    <w:p>
      <w:pPr>
        <w:numPr>
          <w:ilvl w:val="0"/>
          <w:numId w:val="0"/>
        </w:numPr>
        <w:tabs>
          <w:tab w:val="left" w:pos="392"/>
        </w:tabs>
        <w:ind w:leftChars="0"/>
        <w:jc w:val="left"/>
        <w:rPr>
          <w:rFonts w:hint="eastAsia"/>
          <w:b w:val="0"/>
          <w:bCs w:val="0"/>
          <w:sz w:val="28"/>
          <w:szCs w:val="28"/>
          <w:lang w:val="en-US" w:eastAsia="zh-CN"/>
        </w:rPr>
      </w:pPr>
      <w:r>
        <w:rPr>
          <w:rFonts w:hint="eastAsia"/>
          <w:b w:val="0"/>
          <w:bCs w:val="0"/>
          <w:sz w:val="28"/>
          <w:szCs w:val="28"/>
          <w:lang w:val="en-US" w:eastAsia="zh-CN"/>
        </w:rPr>
        <w:t>2.4投标方需具备履行合同所需的财务、技术和电力交易能力，财务状况良好。</w:t>
      </w:r>
    </w:p>
    <w:p>
      <w:pPr>
        <w:numPr>
          <w:ilvl w:val="0"/>
          <w:numId w:val="0"/>
        </w:numPr>
        <w:tabs>
          <w:tab w:val="left" w:pos="392"/>
        </w:tabs>
        <w:ind w:leftChars="0"/>
        <w:jc w:val="left"/>
        <w:rPr>
          <w:rFonts w:hint="eastAsia"/>
          <w:b w:val="0"/>
          <w:bCs w:val="0"/>
          <w:sz w:val="28"/>
          <w:szCs w:val="28"/>
          <w:lang w:val="en-US" w:eastAsia="zh-CN"/>
        </w:rPr>
      </w:pPr>
      <w:r>
        <w:rPr>
          <w:rFonts w:hint="eastAsia"/>
          <w:b w:val="0"/>
          <w:bCs w:val="0"/>
          <w:sz w:val="28"/>
          <w:szCs w:val="28"/>
          <w:lang w:val="en-US" w:eastAsia="zh-CN"/>
        </w:rPr>
        <w:t>2.5投标方必须没有国家有关部门所界定的腐败、虚假宣传、欺诈等不良行为。</w:t>
      </w:r>
    </w:p>
    <w:p>
      <w:pPr>
        <w:numPr>
          <w:ilvl w:val="0"/>
          <w:numId w:val="1"/>
        </w:numPr>
        <w:tabs>
          <w:tab w:val="left" w:pos="392"/>
        </w:tabs>
        <w:ind w:left="0" w:leftChars="0" w:firstLine="0" w:firstLineChars="0"/>
        <w:jc w:val="left"/>
        <w:rPr>
          <w:rFonts w:hint="eastAsia"/>
          <w:b/>
          <w:bCs/>
          <w:sz w:val="28"/>
          <w:szCs w:val="28"/>
          <w:lang w:val="en-US" w:eastAsia="zh-CN"/>
        </w:rPr>
      </w:pPr>
      <w:r>
        <w:rPr>
          <w:rFonts w:hint="eastAsia"/>
          <w:b/>
          <w:bCs/>
          <w:sz w:val="28"/>
          <w:szCs w:val="28"/>
          <w:lang w:val="en-US" w:eastAsia="zh-CN"/>
        </w:rPr>
        <w:t>文件、资料的提供：投标方应满足以下要求并在投标文件中提供详细的售电方案</w:t>
      </w:r>
    </w:p>
    <w:p>
      <w:pPr>
        <w:numPr>
          <w:ilvl w:val="0"/>
          <w:numId w:val="0"/>
        </w:numPr>
        <w:tabs>
          <w:tab w:val="left" w:pos="392"/>
        </w:tabs>
        <w:ind w:leftChars="0"/>
        <w:jc w:val="left"/>
        <w:rPr>
          <w:rFonts w:hint="default"/>
          <w:b w:val="0"/>
          <w:bCs w:val="0"/>
          <w:sz w:val="28"/>
          <w:szCs w:val="28"/>
          <w:lang w:val="en-US" w:eastAsia="zh-CN"/>
        </w:rPr>
      </w:pPr>
      <w:r>
        <w:rPr>
          <w:rFonts w:hint="eastAsia"/>
          <w:b w:val="0"/>
          <w:bCs w:val="0"/>
          <w:sz w:val="28"/>
          <w:szCs w:val="28"/>
          <w:lang w:val="en-US" w:eastAsia="zh-CN"/>
        </w:rPr>
        <w:t>3.1全年预估电量：20000000kWh</w:t>
      </w:r>
    </w:p>
    <w:p>
      <w:pPr>
        <w:numPr>
          <w:ilvl w:val="0"/>
          <w:numId w:val="0"/>
        </w:numPr>
        <w:tabs>
          <w:tab w:val="left" w:pos="392"/>
        </w:tabs>
        <w:ind w:leftChars="0"/>
        <w:jc w:val="left"/>
        <w:rPr>
          <w:rFonts w:hint="eastAsia"/>
          <w:b w:val="0"/>
          <w:bCs w:val="0"/>
          <w:sz w:val="28"/>
          <w:szCs w:val="28"/>
          <w:lang w:val="en-US" w:eastAsia="zh-CN"/>
        </w:rPr>
      </w:pPr>
      <w:r>
        <w:rPr>
          <w:rFonts w:hint="eastAsia"/>
          <w:b w:val="0"/>
          <w:bCs w:val="0"/>
          <w:sz w:val="28"/>
          <w:szCs w:val="28"/>
          <w:lang w:val="en-US" w:eastAsia="zh-CN"/>
        </w:rPr>
        <w:t>3.2偏差考核：投标方必须承担招标单位的全部偏差考核风险，超计划使用量仍有享受中标价格，且在除电费以外不能产生任何额外费用。投标人对上述资格要求的任何不符都将导致投标人废标。</w:t>
      </w:r>
    </w:p>
    <w:p>
      <w:pPr>
        <w:numPr>
          <w:ilvl w:val="0"/>
          <w:numId w:val="0"/>
        </w:numPr>
        <w:tabs>
          <w:tab w:val="left" w:pos="392"/>
        </w:tabs>
        <w:ind w:leftChars="0"/>
        <w:jc w:val="left"/>
        <w:rPr>
          <w:rFonts w:hint="default"/>
          <w:b w:val="0"/>
          <w:bCs w:val="0"/>
          <w:sz w:val="28"/>
          <w:szCs w:val="28"/>
          <w:lang w:val="en-US" w:eastAsia="zh-CN"/>
        </w:rPr>
      </w:pPr>
      <w:r>
        <w:rPr>
          <w:rFonts w:hint="eastAsia"/>
          <w:b w:val="0"/>
          <w:bCs w:val="0"/>
          <w:sz w:val="28"/>
          <w:szCs w:val="28"/>
          <w:lang w:val="en-US" w:eastAsia="zh-CN"/>
        </w:rPr>
        <w:t>3.3增值服务：提供用能管理及状况的诊断、咨询、监测、评估、方案策划，节能项目设计、改造及抢修（包括施工、设备安装、调试、验收）、运行管理服务、合同能源管理，光伏新能源开发与应用，用电替代服务，碳排放权交易，供电服务，能源科学技术服务，电力需求侧管理服务，节能产品、电力设备、节能检测、电能替代产品销售、设备租赁（应急发电机组免费提供）。</w:t>
      </w:r>
    </w:p>
    <w:p>
      <w:pPr>
        <w:numPr>
          <w:ilvl w:val="0"/>
          <w:numId w:val="1"/>
        </w:numPr>
        <w:tabs>
          <w:tab w:val="left" w:pos="392"/>
        </w:tabs>
        <w:ind w:left="0" w:leftChars="0" w:firstLine="0" w:firstLineChars="0"/>
        <w:jc w:val="left"/>
        <w:rPr>
          <w:rFonts w:hint="eastAsia"/>
          <w:b/>
          <w:bCs/>
          <w:sz w:val="28"/>
          <w:szCs w:val="28"/>
          <w:lang w:val="en-US" w:eastAsia="zh-CN"/>
        </w:rPr>
      </w:pPr>
      <w:r>
        <w:rPr>
          <w:rFonts w:hint="eastAsia"/>
          <w:b/>
          <w:bCs/>
          <w:sz w:val="28"/>
          <w:szCs w:val="28"/>
          <w:lang w:val="en-US" w:eastAsia="zh-CN"/>
        </w:rPr>
        <w:t>招标、开标报名时间、地点</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lang w:val="en-US" w:eastAsia="zh-CN"/>
        </w:rPr>
        <w:t>4.1投标报名截止时间：2021年1月19日下午17:00时（北京时间，下同）将盖启封章密封好的标书由投标单位相关人员转交到</w:t>
      </w:r>
      <w:r>
        <w:rPr>
          <w:rFonts w:hint="eastAsia"/>
          <w:b w:val="0"/>
          <w:bCs w:val="0"/>
          <w:sz w:val="28"/>
          <w:szCs w:val="28"/>
          <w:u w:val="single"/>
          <w:lang w:val="en-US" w:eastAsia="zh-CN"/>
        </w:rPr>
        <w:t>四川中信华诚化工科技有限公司 杨德18584848252</w:t>
      </w:r>
      <w:r>
        <w:rPr>
          <w:rFonts w:hint="eastAsia"/>
          <w:b w:val="0"/>
          <w:bCs w:val="0"/>
          <w:sz w:val="28"/>
          <w:szCs w:val="28"/>
          <w:u w:val="none"/>
          <w:lang w:val="en-US" w:eastAsia="zh-CN"/>
        </w:rPr>
        <w:t>，逾期视作弃标。</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4.2开标时间：2021年1月20日上午10:00，在四川中信华诚化工科技有限公司会议室进行开标。</w:t>
      </w:r>
    </w:p>
    <w:p>
      <w:pPr>
        <w:numPr>
          <w:ilvl w:val="0"/>
          <w:numId w:val="0"/>
        </w:numPr>
        <w:tabs>
          <w:tab w:val="left" w:pos="392"/>
        </w:tabs>
        <w:ind w:leftChars="0"/>
        <w:jc w:val="left"/>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val="0"/>
          <w:bCs w:val="0"/>
          <w:sz w:val="28"/>
          <w:szCs w:val="28"/>
          <w:u w:val="none"/>
          <w:lang w:val="en-US" w:eastAsia="zh-CN"/>
        </w:rPr>
        <w:t>4.3</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报名资料包括：投标人为法人或者其他组织的，只需提供单位介绍信、经办人身份证明（需注明被介绍人姓名、联系方式、办理事项内容或授权范围等内容，提供被介绍人或被授权人的身份证复印件，并均需加盖投标人单位鲜章）；投标人为自然人的，只需提供本人身份证明。投标人购买招标文件时必须如实认真填写项目信息及投标人信息；若因投标人提供的错误信息，对自身投标事宜造成影响的，由投标人自行承担责任（投标人欲修改报名信息，请于报名截止日前重新填写报名登记表）</w:t>
      </w:r>
    </w:p>
    <w:p>
      <w:pPr>
        <w:numPr>
          <w:ilvl w:val="0"/>
          <w:numId w:val="0"/>
        </w:numPr>
        <w:tabs>
          <w:tab w:val="left" w:pos="392"/>
        </w:tabs>
        <w:ind w:leftChars="0"/>
        <w:jc w:val="left"/>
        <w:rPr>
          <w:rFonts w:hint="eastAsia" w:ascii="宋体" w:hAnsi="宋体" w:eastAsia="宋体" w:cs="宋体"/>
          <w:b w:val="0"/>
          <w:bCs w:val="0"/>
          <w:sz w:val="28"/>
          <w:szCs w:val="28"/>
          <w:u w:val="none"/>
          <w:lang w:val="en-US" w:eastAsia="zh-CN"/>
        </w:rPr>
      </w:pP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4.4</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逾期送达的或者未送达指定地点的投标文件，招标人不予受理。</w:t>
      </w:r>
    </w:p>
    <w:p>
      <w:pPr>
        <w:numPr>
          <w:ilvl w:val="0"/>
          <w:numId w:val="1"/>
        </w:numPr>
        <w:tabs>
          <w:tab w:val="left" w:pos="392"/>
        </w:tabs>
        <w:ind w:left="0" w:leftChars="0" w:firstLine="0" w:firstLineChars="0"/>
        <w:jc w:val="left"/>
        <w:rPr>
          <w:rFonts w:hint="eastAsia"/>
          <w:b/>
          <w:bCs/>
          <w:sz w:val="28"/>
          <w:szCs w:val="28"/>
          <w:u w:val="none"/>
          <w:lang w:val="en-US" w:eastAsia="zh-CN"/>
        </w:rPr>
      </w:pPr>
      <w:r>
        <w:rPr>
          <w:rFonts w:hint="eastAsia"/>
          <w:b/>
          <w:bCs/>
          <w:sz w:val="28"/>
          <w:szCs w:val="28"/>
          <w:u w:val="none"/>
          <w:lang w:val="en-US" w:eastAsia="zh-CN"/>
        </w:rPr>
        <w:t>开标形式为公司组织内部相关评标委员会人员公正开标、议标，时间不另行通知投标方，采购部负责在评标结果审批后第一时间通知各投标方是否中标。</w:t>
      </w:r>
    </w:p>
    <w:p>
      <w:pPr>
        <w:numPr>
          <w:ilvl w:val="0"/>
          <w:numId w:val="1"/>
        </w:numPr>
        <w:tabs>
          <w:tab w:val="left" w:pos="392"/>
        </w:tabs>
        <w:ind w:left="0" w:leftChars="0" w:firstLine="0" w:firstLineChars="0"/>
        <w:jc w:val="left"/>
        <w:rPr>
          <w:rFonts w:hint="eastAsia"/>
          <w:b/>
          <w:bCs/>
          <w:sz w:val="28"/>
          <w:szCs w:val="28"/>
          <w:u w:val="none"/>
          <w:lang w:val="en-US" w:eastAsia="zh-CN"/>
        </w:rPr>
      </w:pPr>
      <w:r>
        <w:rPr>
          <w:rFonts w:hint="eastAsia"/>
          <w:b/>
          <w:bCs/>
          <w:sz w:val="28"/>
          <w:szCs w:val="28"/>
          <w:u w:val="none"/>
          <w:lang w:val="en-US" w:eastAsia="zh-CN"/>
        </w:rPr>
        <w:t>评标方法及标准</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6.1评标方法：最终价+综合评定=中标</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6.2本次招标采用最终价评标法与综合评估相结合的评标方法。除价格因素外其他各项因素主要是：售电公司综合实力，技术人员配置及人数，履约保函金额等和对招标文件的响应程度，以及相应的比重或权值等。</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6.3评标程序</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6.3.1投标文件的初审（符合性审查）符合性审查的内容：实质上没有响应招标文件要求的投标方将被拒绝。投标人不得通过修正或撤销不符合要求的偏离或保留从而使其投标成为实质上响应的投标。如发现下列情况之一的，其投标将被拒绝：</w:t>
      </w:r>
    </w:p>
    <w:p>
      <w:pPr>
        <w:numPr>
          <w:ilvl w:val="0"/>
          <w:numId w:val="2"/>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投标资料不完整的；</w:t>
      </w:r>
    </w:p>
    <w:p>
      <w:pPr>
        <w:numPr>
          <w:ilvl w:val="0"/>
          <w:numId w:val="2"/>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资格证明不全的；</w:t>
      </w:r>
    </w:p>
    <w:p>
      <w:pPr>
        <w:numPr>
          <w:ilvl w:val="0"/>
          <w:numId w:val="2"/>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投标文件无法定代表人签字，或签字无法定代表人有效委托书的；</w:t>
      </w:r>
    </w:p>
    <w:p>
      <w:pPr>
        <w:numPr>
          <w:ilvl w:val="0"/>
          <w:numId w:val="2"/>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投标有效期不足的；</w:t>
      </w:r>
    </w:p>
    <w:p>
      <w:pPr>
        <w:numPr>
          <w:ilvl w:val="0"/>
          <w:numId w:val="2"/>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投标文件有涂改的；</w:t>
      </w:r>
    </w:p>
    <w:p>
      <w:pPr>
        <w:numPr>
          <w:ilvl w:val="0"/>
          <w:numId w:val="2"/>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投标文件未用档案袋密封加盖公章的；</w:t>
      </w:r>
    </w:p>
    <w:p>
      <w:pPr>
        <w:numPr>
          <w:ilvl w:val="0"/>
          <w:numId w:val="1"/>
        </w:numPr>
        <w:tabs>
          <w:tab w:val="left" w:pos="392"/>
        </w:tabs>
        <w:ind w:left="0" w:leftChars="0" w:firstLine="0" w:firstLineChars="0"/>
        <w:jc w:val="left"/>
        <w:rPr>
          <w:rFonts w:hint="eastAsia"/>
          <w:b/>
          <w:bCs/>
          <w:sz w:val="28"/>
          <w:szCs w:val="28"/>
          <w:u w:val="none"/>
          <w:lang w:val="en-US" w:eastAsia="zh-CN"/>
        </w:rPr>
      </w:pPr>
      <w:r>
        <w:rPr>
          <w:rFonts w:hint="eastAsia"/>
          <w:b/>
          <w:bCs/>
          <w:sz w:val="28"/>
          <w:szCs w:val="28"/>
          <w:u w:val="none"/>
          <w:lang w:val="en-US" w:eastAsia="zh-CN"/>
        </w:rPr>
        <w:t>投标文件的澄清</w:t>
      </w:r>
    </w:p>
    <w:p>
      <w:pPr>
        <w:numPr>
          <w:ilvl w:val="0"/>
          <w:numId w:val="0"/>
        </w:numPr>
        <w:tabs>
          <w:tab w:val="left" w:pos="392"/>
        </w:tabs>
        <w:ind w:leftChars="0"/>
        <w:jc w:val="both"/>
        <w:rPr>
          <w:rFonts w:hint="default"/>
          <w:b w:val="0"/>
          <w:bCs w:val="0"/>
          <w:sz w:val="28"/>
          <w:szCs w:val="28"/>
          <w:lang w:val="en-US" w:eastAsia="zh-CN"/>
        </w:rPr>
      </w:pPr>
      <w:r>
        <w:rPr>
          <w:rFonts w:hint="eastAsia"/>
          <w:b w:val="0"/>
          <w:bCs w:val="0"/>
          <w:sz w:val="28"/>
          <w:szCs w:val="28"/>
          <w:u w:val="none"/>
          <w:lang w:val="en-US" w:eastAsia="zh-CN"/>
        </w:rPr>
        <w:t>7.1评标委员会可以在不得超出投标文件的范围或者改变投标文件的实质性内容的前提下，以书面形式对投标文件中含义不明确、对同类问题表述不一致或者有明显文字和计算错误的内容进行纠正。但纠正</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不会影响到投标人的最终得分。</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7.2评标委员会成员将对合格投标人进行综合评审并进行打分，分值最高的将推荐为中标候选人。如果发现该中标候选人由于特殊情况不能履行合同的，公司有权取消其中标资格，宣布分值次高的为中标候选人，由此类推。</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7.3投标人在投标活动中有违法违纪活动一经查出，将取消投标资格，已经中标的，取消中标资格。</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7.4投标人的最终报价不能作为中标的唯一依据。</w:t>
      </w:r>
    </w:p>
    <w:p>
      <w:pPr>
        <w:numPr>
          <w:ilvl w:val="0"/>
          <w:numId w:val="1"/>
        </w:numPr>
        <w:tabs>
          <w:tab w:val="left" w:pos="392"/>
        </w:tabs>
        <w:ind w:left="0" w:leftChars="0" w:firstLine="0" w:firstLineChars="0"/>
        <w:jc w:val="left"/>
        <w:rPr>
          <w:rFonts w:hint="eastAsia"/>
          <w:b/>
          <w:bCs/>
          <w:sz w:val="28"/>
          <w:szCs w:val="28"/>
          <w:u w:val="none"/>
          <w:lang w:val="en-US" w:eastAsia="zh-CN"/>
        </w:rPr>
      </w:pPr>
      <w:r>
        <w:rPr>
          <w:rFonts w:hint="eastAsia"/>
          <w:b/>
          <w:bCs/>
          <w:sz w:val="28"/>
          <w:szCs w:val="28"/>
          <w:u w:val="none"/>
          <w:lang w:val="en-US" w:eastAsia="zh-CN"/>
        </w:rPr>
        <w:t>其他事项</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8.1除非招标文件中的技术规格另有规定，投标人在投标文件中及其与采购人和集中采购机构的所有往来文件中的计量单位均应采用中华人民共和国法定计量单位。</w:t>
      </w:r>
    </w:p>
    <w:p>
      <w:pPr>
        <w:numPr>
          <w:ilvl w:val="0"/>
          <w:numId w:val="0"/>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8.2投标人提供的货物及相关服务在投标时必须用人民币报价。</w:t>
      </w:r>
    </w:p>
    <w:p>
      <w:pPr>
        <w:numPr>
          <w:ilvl w:val="0"/>
          <w:numId w:val="0"/>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8.3由于2021年四川省内电力市场交易总体方案最新政策还未正式出台，在招、投标方签订正式合同以后，招、投标方将以承诺书或者补充协议的方式再次进行签订，保证招标方能够享有最新的优惠政策。</w:t>
      </w:r>
    </w:p>
    <w:p>
      <w:pPr>
        <w:numPr>
          <w:ilvl w:val="0"/>
          <w:numId w:val="1"/>
        </w:numPr>
        <w:tabs>
          <w:tab w:val="left" w:pos="392"/>
        </w:tabs>
        <w:ind w:left="0" w:leftChars="0" w:firstLine="0" w:firstLineChars="0"/>
        <w:jc w:val="left"/>
        <w:rPr>
          <w:rFonts w:hint="eastAsia"/>
          <w:b/>
          <w:bCs/>
          <w:sz w:val="28"/>
          <w:szCs w:val="28"/>
          <w:u w:val="none"/>
          <w:lang w:val="en-US" w:eastAsia="zh-CN"/>
        </w:rPr>
      </w:pPr>
      <w:r>
        <w:rPr>
          <w:rFonts w:hint="eastAsia"/>
          <w:b/>
          <w:bCs/>
          <w:sz w:val="28"/>
          <w:szCs w:val="28"/>
          <w:u w:val="none"/>
          <w:lang w:val="en-US" w:eastAsia="zh-CN"/>
        </w:rPr>
        <w:t>招标文件的解释权归四川中信华诚化工科技有限公司。</w:t>
      </w:r>
    </w:p>
    <w:p>
      <w:pPr>
        <w:numPr>
          <w:ilvl w:val="0"/>
          <w:numId w:val="0"/>
        </w:numPr>
        <w:tabs>
          <w:tab w:val="left" w:pos="392"/>
        </w:tabs>
        <w:ind w:leftChars="0"/>
        <w:jc w:val="left"/>
        <w:rPr>
          <w:rFonts w:hint="default"/>
          <w:b/>
          <w:bCs/>
          <w:sz w:val="28"/>
          <w:szCs w:val="28"/>
          <w:u w:val="none"/>
          <w:lang w:val="en-US" w:eastAsia="zh-CN"/>
        </w:rPr>
      </w:pPr>
      <w:r>
        <w:rPr>
          <w:rFonts w:hint="eastAsia"/>
          <w:b/>
          <w:bCs/>
          <w:sz w:val="28"/>
          <w:szCs w:val="28"/>
          <w:u w:val="none"/>
          <w:lang w:val="en-US" w:eastAsia="zh-CN"/>
        </w:rPr>
        <w:t>十、投标文件格式（大纲）：</w:t>
      </w:r>
    </w:p>
    <w:p>
      <w:pPr>
        <w:numPr>
          <w:ilvl w:val="0"/>
          <w:numId w:val="0"/>
        </w:numPr>
        <w:tabs>
          <w:tab w:val="left" w:pos="392"/>
        </w:tabs>
        <w:ind w:leftChars="0"/>
        <w:jc w:val="left"/>
        <w:rPr>
          <w:rFonts w:hint="eastAsia"/>
          <w:b w:val="0"/>
          <w:bCs w:val="0"/>
          <w:sz w:val="28"/>
          <w:szCs w:val="28"/>
          <w:u w:val="none"/>
          <w:lang w:val="en-US" w:eastAsia="zh-CN"/>
        </w:rPr>
      </w:pPr>
    </w:p>
    <w:p>
      <w:pPr>
        <w:numPr>
          <w:ilvl w:val="0"/>
          <w:numId w:val="0"/>
        </w:numPr>
        <w:tabs>
          <w:tab w:val="left" w:pos="392"/>
        </w:tabs>
        <w:ind w:leftChars="0"/>
        <w:jc w:val="left"/>
        <w:rPr>
          <w:rFonts w:hint="eastAsia"/>
          <w:b w:val="0"/>
          <w:bCs w:val="0"/>
          <w:sz w:val="28"/>
          <w:szCs w:val="28"/>
          <w:u w:val="none"/>
          <w:lang w:val="en-US" w:eastAsia="zh-CN"/>
        </w:rPr>
      </w:pPr>
    </w:p>
    <w:p>
      <w:pPr>
        <w:numPr>
          <w:ilvl w:val="0"/>
          <w:numId w:val="0"/>
        </w:numPr>
        <w:tabs>
          <w:tab w:val="left" w:pos="392"/>
        </w:tabs>
        <w:ind w:leftChars="0"/>
        <w:jc w:val="center"/>
        <w:rPr>
          <w:rFonts w:hint="eastAsia"/>
          <w:b w:val="0"/>
          <w:bCs w:val="0"/>
          <w:sz w:val="28"/>
          <w:szCs w:val="28"/>
          <w:u w:val="none"/>
          <w:lang w:val="en-US" w:eastAsia="zh-CN"/>
        </w:rPr>
      </w:pPr>
      <w:r>
        <w:rPr>
          <w:rFonts w:hint="eastAsia"/>
          <w:b w:val="0"/>
          <w:bCs w:val="0"/>
          <w:sz w:val="28"/>
          <w:szCs w:val="28"/>
          <w:u w:val="none"/>
          <w:lang w:val="en-US" w:eastAsia="zh-CN"/>
        </w:rPr>
        <w:t>目 录</w:t>
      </w:r>
    </w:p>
    <w:p>
      <w:pPr>
        <w:numPr>
          <w:ilvl w:val="0"/>
          <w:numId w:val="3"/>
        </w:numPr>
        <w:tabs>
          <w:tab w:val="left" w:pos="392"/>
        </w:tabs>
        <w:ind w:leftChars="0"/>
        <w:jc w:val="left"/>
        <w:rPr>
          <w:rFonts w:hint="eastAsia"/>
          <w:b w:val="0"/>
          <w:bCs w:val="0"/>
          <w:sz w:val="28"/>
          <w:szCs w:val="28"/>
          <w:u w:val="none"/>
          <w:lang w:val="en-US" w:eastAsia="zh-CN"/>
        </w:rPr>
      </w:pPr>
      <w:r>
        <w:rPr>
          <w:rFonts w:hint="eastAsia"/>
          <w:b w:val="0"/>
          <w:bCs w:val="0"/>
          <w:sz w:val="28"/>
          <w:szCs w:val="28"/>
          <w:u w:val="none"/>
          <w:lang w:val="en-US" w:eastAsia="zh-CN"/>
        </w:rPr>
        <w:t>投标书（标函）</w:t>
      </w:r>
    </w:p>
    <w:p>
      <w:pPr>
        <w:numPr>
          <w:ilvl w:val="0"/>
          <w:numId w:val="3"/>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售电公司资质证明资料</w:t>
      </w:r>
    </w:p>
    <w:p>
      <w:pPr>
        <w:numPr>
          <w:ilvl w:val="0"/>
          <w:numId w:val="3"/>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营业执照</w:t>
      </w:r>
    </w:p>
    <w:p>
      <w:pPr>
        <w:numPr>
          <w:ilvl w:val="0"/>
          <w:numId w:val="3"/>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法定代表人身份证明</w:t>
      </w:r>
    </w:p>
    <w:p>
      <w:pPr>
        <w:numPr>
          <w:ilvl w:val="0"/>
          <w:numId w:val="3"/>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授权委托书</w:t>
      </w:r>
    </w:p>
    <w:p>
      <w:pPr>
        <w:numPr>
          <w:ilvl w:val="0"/>
          <w:numId w:val="3"/>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本公司在本市或其他城市业绩汇总（注明客户单位全称、标注中标单价、附中标通知书）</w:t>
      </w:r>
    </w:p>
    <w:p>
      <w:pPr>
        <w:numPr>
          <w:ilvl w:val="0"/>
          <w:numId w:val="3"/>
        </w:numPr>
        <w:tabs>
          <w:tab w:val="left" w:pos="392"/>
        </w:tabs>
        <w:ind w:leftChars="0"/>
        <w:jc w:val="left"/>
        <w:rPr>
          <w:rFonts w:hint="default"/>
          <w:b w:val="0"/>
          <w:bCs w:val="0"/>
          <w:sz w:val="28"/>
          <w:szCs w:val="28"/>
          <w:u w:val="none"/>
          <w:lang w:val="en-US" w:eastAsia="zh-CN"/>
        </w:rPr>
      </w:pPr>
      <w:r>
        <w:rPr>
          <w:rFonts w:hint="eastAsia"/>
          <w:b w:val="0"/>
          <w:bCs w:val="0"/>
          <w:sz w:val="28"/>
          <w:szCs w:val="28"/>
          <w:u w:val="none"/>
          <w:lang w:val="en-US" w:eastAsia="zh-CN"/>
        </w:rPr>
        <w:t>投标单位的报价及说明</w:t>
      </w:r>
    </w:p>
    <w:p>
      <w:pPr>
        <w:numPr>
          <w:ilvl w:val="0"/>
          <w:numId w:val="0"/>
        </w:numPr>
        <w:tabs>
          <w:tab w:val="left" w:pos="392"/>
        </w:tabs>
        <w:ind w:leftChars="0"/>
        <w:jc w:val="left"/>
        <w:rPr>
          <w:rFonts w:hint="default"/>
          <w:b w:val="0"/>
          <w:bCs w:val="0"/>
          <w:sz w:val="28"/>
          <w:szCs w:val="28"/>
          <w:u w:val="none"/>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left"/>
        <w:rPr>
          <w:rFonts w:hint="default"/>
          <w:b w:val="0"/>
          <w:bCs w:val="0"/>
          <w:sz w:val="28"/>
          <w:szCs w:val="28"/>
          <w:lang w:val="en-US" w:eastAsia="zh-CN"/>
        </w:rPr>
      </w:pPr>
    </w:p>
    <w:p>
      <w:pPr>
        <w:numPr>
          <w:ilvl w:val="0"/>
          <w:numId w:val="0"/>
        </w:numPr>
        <w:tabs>
          <w:tab w:val="left" w:pos="392"/>
        </w:tabs>
        <w:jc w:val="both"/>
        <w:rPr>
          <w:rFonts w:hint="default"/>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F1C35"/>
    <w:multiLevelType w:val="singleLevel"/>
    <w:tmpl w:val="B17F1C35"/>
    <w:lvl w:ilvl="0" w:tentative="0">
      <w:start w:val="1"/>
      <w:numFmt w:val="decimal"/>
      <w:suff w:val="nothing"/>
      <w:lvlText w:val="（%1）"/>
      <w:lvlJc w:val="left"/>
    </w:lvl>
  </w:abstractNum>
  <w:abstractNum w:abstractNumId="1">
    <w:nsid w:val="DD8328BB"/>
    <w:multiLevelType w:val="singleLevel"/>
    <w:tmpl w:val="DD8328BB"/>
    <w:lvl w:ilvl="0" w:tentative="0">
      <w:start w:val="1"/>
      <w:numFmt w:val="chineseCounting"/>
      <w:suff w:val="nothing"/>
      <w:lvlText w:val="%1、"/>
      <w:lvlJc w:val="left"/>
      <w:rPr>
        <w:rFonts w:hint="eastAsia"/>
      </w:rPr>
    </w:lvl>
  </w:abstractNum>
  <w:abstractNum w:abstractNumId="2">
    <w:nsid w:val="3BB6D741"/>
    <w:multiLevelType w:val="singleLevel"/>
    <w:tmpl w:val="3BB6D74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79"/>
    <w:rsid w:val="00C05779"/>
    <w:rsid w:val="04060164"/>
    <w:rsid w:val="0E363F9F"/>
    <w:rsid w:val="12301BEC"/>
    <w:rsid w:val="13C168E4"/>
    <w:rsid w:val="24DD69D2"/>
    <w:rsid w:val="3EE64C64"/>
    <w:rsid w:val="4302632E"/>
    <w:rsid w:val="4D483B87"/>
    <w:rsid w:val="4F210B20"/>
    <w:rsid w:val="507D0B73"/>
    <w:rsid w:val="533523CD"/>
    <w:rsid w:val="538712FA"/>
    <w:rsid w:val="5B506743"/>
    <w:rsid w:val="670A5DCB"/>
    <w:rsid w:val="6E3C675A"/>
    <w:rsid w:val="729C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2021-01-13T03:01:00Z</dcterms:created>
  <dc:creator>Mmoon</dc:creator>
  <cp:lastModifiedBy>莫名的……</cp:lastModifiedBy>
  <dcterms:modified xsi:type="dcterms:W3CDTF">2021-01-14T06:44:58Z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